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itle"/>
        <w:keepNext/>
        <w:spacing w:after="360" w:line="480" w:lineRule="auto"/>
        <w:jc w:val="center"/>
      </w:pPr>
      <w:r>
        <w:rPr>
          <w:rFonts w:ascii="Microsoft YaHei" w:cs="Microsoft YaHei" w:eastAsia="Microsoft YaHei" w:hAnsi="Microsoft YaHei"/>
          <w:b/>
          <w:bCs/>
          <w:sz w:val="40"/>
          <w:szCs w:val="40"/>
        </w:rPr>
        <w:t xml:space="preserve">宁夏回族自治区商业秘密保护政策服务事项清单</w:t>
      </w:r>
    </w:p>
    <w:p>
      <w:pPr>
        <w:pStyle w:val="Heading1"/>
        <w:spacing w:after="120" w:before="280"/>
      </w:pPr>
      <w:r>
        <w:rPr>
          <w:rFonts w:ascii="Microsoft YaHei" w:cs="Microsoft YaHei" w:eastAsia="Microsoft YaHei" w:hAnsi="Microsoft YaHei"/>
        </w:rPr>
        <w:t xml:space="preserve">使用说明</w:t>
      </w:r>
    </w:p>
    <w:p>
      <w:pPr>
        <w:spacing w:after="160" w:line="360" w:lineRule="auto"/>
      </w:pPr>
      <w:r>
        <w:rPr>
          <w:rFonts w:ascii="Microsoft YaHei" w:cs="Microsoft YaHei" w:eastAsia="Microsoft YaHei" w:hAnsi="Microsoft YaHei"/>
        </w:rPr>
        <w:t xml:space="preserve">本清单用于汇总企业可关注的商业秘密保护政策服务事项。办理前应以主管部门公开的最新要求为准。</w:t>
      </w:r>
    </w:p>
    <w:p>
      <w:pPr>
        <w:pStyle w:val="Heading2"/>
        <w:spacing w:after="120" w:before="280"/>
      </w:pPr>
      <w:r>
        <w:rPr>
          <w:rFonts w:ascii="Microsoft YaHei" w:cs="Microsoft YaHei" w:eastAsia="Microsoft YaHei" w:hAnsi="Microsoft YaHei"/>
        </w:rPr>
        <w:t xml:space="preserve">政策咨询</w:t>
      </w:r>
    </w:p>
    <w:p>
      <w:pPr>
        <w:pStyle w:val="ListParagraph"/>
        <w:numPr>
          <w:ilvl w:val="0"/>
          <w:numId w:val="1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商业秘密保护制度建设咨询</w:t>
      </w:r>
    </w:p>
    <w:p>
      <w:pPr>
        <w:pStyle w:val="ListParagraph"/>
        <w:numPr>
          <w:ilvl w:val="0"/>
          <w:numId w:val="1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重点岗位与合作方管理咨询</w:t>
      </w:r>
    </w:p>
    <w:p>
      <w:pPr>
        <w:pStyle w:val="ListParagraph"/>
        <w:numPr>
          <w:ilvl w:val="0"/>
          <w:numId w:val="1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商业秘密保护阵地建设指导</w:t>
      </w:r>
    </w:p>
    <w:p>
      <w:pPr>
        <w:pStyle w:val="Heading2"/>
        <w:spacing w:after="120" w:before="280"/>
      </w:pPr>
      <w:r>
        <w:rPr>
          <w:rFonts w:ascii="Microsoft YaHei" w:cs="Microsoft YaHei" w:eastAsia="Microsoft YaHei" w:hAnsi="Microsoft YaHei"/>
        </w:rPr>
        <w:t xml:space="preserve">公共服务</w:t>
      </w:r>
    </w:p>
    <w:p>
      <w:pPr>
        <w:pStyle w:val="ListParagraph"/>
        <w:numPr>
          <w:ilvl w:val="0"/>
          <w:numId w:val="1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企业风险体检与整改建议</w:t>
      </w:r>
    </w:p>
    <w:p>
      <w:pPr>
        <w:pStyle w:val="ListParagraph"/>
        <w:numPr>
          <w:ilvl w:val="0"/>
          <w:numId w:val="1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专家预约与专业机构服务对接</w:t>
      </w:r>
    </w:p>
    <w:p>
      <w:pPr>
        <w:pStyle w:val="ListParagraph"/>
        <w:numPr>
          <w:ilvl w:val="0"/>
          <w:numId w:val="1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专题培训、课程学习和资料下载</w:t>
      </w:r>
    </w:p>
    <w:p>
      <w:pPr>
        <w:pStyle w:val="ListParagraph"/>
        <w:numPr>
          <w:ilvl w:val="0"/>
          <w:numId w:val="1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维权援助与争议处置路径咨询</w:t>
      </w:r>
    </w:p>
    <w:p>
      <w:pPr>
        <w:pStyle w:val="Heading2"/>
        <w:spacing w:after="120" w:before="280"/>
      </w:pPr>
      <w:r>
        <w:rPr>
          <w:rFonts w:ascii="Microsoft YaHei" w:cs="Microsoft YaHei" w:eastAsia="Microsoft YaHei" w:hAnsi="Microsoft YaHei"/>
        </w:rPr>
        <w:t xml:space="preserve">企业准备建议</w:t>
      </w:r>
    </w:p>
    <w:p>
      <w:pPr>
        <w:pStyle w:val="ListParagraph"/>
        <w:numPr>
          <w:ilvl w:val="0"/>
          <w:numId w:val="2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企业基本情况和所属行业。</w:t>
      </w:r>
    </w:p>
    <w:p>
      <w:pPr>
        <w:pStyle w:val="ListParagraph"/>
        <w:numPr>
          <w:ilvl w:val="0"/>
          <w:numId w:val="2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现行制度目录及重点业务流程。</w:t>
      </w:r>
    </w:p>
    <w:p>
      <w:pPr>
        <w:pStyle w:val="ListParagraph"/>
        <w:numPr>
          <w:ilvl w:val="0"/>
          <w:numId w:val="2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希望解决的具体管理问题。</w:t>
      </w:r>
    </w:p>
    <w:p>
      <w:pPr>
        <w:pStyle w:val="ListParagraph"/>
        <w:numPr>
          <w:ilvl w:val="0"/>
          <w:numId w:val="2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与申请事项直接相关且已脱敏的说明材料。</w:t>
      </w:r>
    </w:p>
    <w:sectPr>
      <w:pgSz w:w="11905" w:h="16837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decimal"/>
      <w:lvlText w:val="%2."/>
      <w:lvlJc w:val="left"/>
      <w:pPr>
        <w:ind w:left="1440" w:hanging="360"/>
      </w:pPr>
    </w:lvl>
    <w:lvl w:ilvl="2" w15:tentative="1">
      <w:start w:val="1"/>
      <w:numFmt w:val="decimal"/>
      <w:lvlText w:val="%3."/>
      <w:lvlJc w:val="left"/>
      <w:pPr>
        <w:ind w:left="2160" w:hanging="360"/>
      </w:pPr>
    </w:lvl>
    <w:lvl w:ilvl="3" w15:tentative="1">
      <w:start w:val="1"/>
      <w:numFmt w:val="decimal"/>
      <w:lvlText w:val="%4."/>
      <w:lvlJc w:val="left"/>
      <w:pPr>
        <w:ind w:left="2880" w:hanging="360"/>
      </w:pPr>
    </w:lvl>
    <w:lvl w:ilvl="4" w15:tentative="1">
      <w:start w:val="1"/>
      <w:numFmt w:val="decimal"/>
      <w:lvlText w:val="%5."/>
      <w:lvlJc w:val="left"/>
      <w:pPr>
        <w:ind w:left="3600" w:hanging="360"/>
      </w:pPr>
    </w:lvl>
    <w:lvl w:ilvl="5" w15:tentative="1">
      <w:start w:val="1"/>
      <w:numFmt w:val="decimal"/>
      <w:lvlText w:val="%6."/>
      <w:lvlJc w:val="left"/>
      <w:pPr>
        <w:ind w:left="4320" w:hanging="360"/>
      </w:pPr>
    </w:lvl>
    <w:lvl w:ilvl="6" w15:tentative="1">
      <w:start w:val="1"/>
      <w:numFmt w:val="decimal"/>
      <w:lvlText w:val="%7."/>
      <w:lvlJc w:val="left"/>
      <w:pPr>
        <w:ind w:left="5040" w:hanging="360"/>
      </w:pPr>
    </w:lvl>
    <w:lvl w:ilvl="7" w15:tentative="1">
      <w:start w:val="1"/>
      <w:numFmt w:val="decimal"/>
      <w:lvlText w:val="%8."/>
      <w:lvlJc w:val="left"/>
      <w:pPr>
        <w:ind w:left="5760" w:hanging="360"/>
      </w:pPr>
    </w:lvl>
    <w:lvl w:ilvl="8" w15:tentative="1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eastAsia="Microsoft YaHei" w:hAnsi="Microsoft YaHei"/>
        <w:sz w:val="22"/>
        <w:szCs w:val="22"/>
      </w:rPr>
    </w:rPrDefault>
    <w:pPrDefault>
      <w:pPr>
        <w:spacing w:after="160"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rticleTitle">
    <w:name w:val="Article Title"/>
    <w:pPr>
      <w:jc w:val="center"/>
    </w:pPr>
    <w:rPr>
      <w:rFonts w:ascii="Microsoft YaHei" w:cs="Microsoft YaHei" w:eastAsia="Microsoft YaHei" w:hAnsi="Microsoft YaHei"/>
      <w:b/>
      <w:bCs/>
      <w:color w:val="111827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300"/>
      <w:outlineLvl w:val="0"/>
    </w:pPr>
    <w:rPr>
      <w:rFonts w:ascii="Microsoft YaHei" w:cs="Microsoft YaHei" w:eastAsia="Microsoft YaHei" w:hAnsi="Microsoft YaHei"/>
      <w:b/>
      <w:bCs/>
      <w:color w:val="111827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20" w:before="260"/>
      <w:outlineLvl w:val="1"/>
    </w:pPr>
    <w:rPr>
      <w:rFonts w:ascii="Microsoft YaHei" w:cs="Microsoft YaHei" w:eastAsia="Microsoft YaHei" w:hAnsi="Microsoft YaHei"/>
      <w:b/>
      <w:bCs/>
      <w:color w:val="1F2937"/>
      <w:sz w:val="30"/>
      <w:szCs w:val="30"/>
    </w:rPr>
  </w:style>
  <w:style w:type="paragraph" w:styleId="Heading3">
    <w:name w:val="heading 3"/>
    <w:basedOn w:val="Normal"/>
    <w:next w:val="Normal"/>
    <w:qFormat/>
    <w:pPr>
      <w:keepNext/>
      <w:spacing w:after="100" w:before="220"/>
      <w:outlineLvl w:val="2"/>
    </w:pPr>
    <w:rPr>
      <w:rFonts w:ascii="Microsoft YaHei" w:cs="Microsoft YaHei" w:eastAsia="Microsoft YaHei" w:hAnsi="Microsoft YaHei"/>
      <w:b/>
      <w:bCs/>
      <w:color w:val="374151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宁夏回族自治区商业秘密保护政策服务事项清单</dc:title>
  <dc:creator>Xstack</dc:creator>
  <dc:description>由 Xstack 文章管理导出的 DOCX 文档</dc:description>
  <cp:lastModifiedBy>Un-named</cp:lastModifiedBy>
  <cp:revision>1</cp:revision>
  <dcterms:created xsi:type="dcterms:W3CDTF">2026-08-14T05:07:48.727Z</dcterms:created>
  <dcterms:modified xsi:type="dcterms:W3CDTF">2026-08-14T05:07:48.727Z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