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itle"/>
        <w:keepNext/>
        <w:spacing w:after="360" w:line="480" w:lineRule="auto"/>
        <w:jc w:val="center"/>
      </w:pPr>
      <w:r>
        <w:rPr>
          <w:rFonts w:ascii="Microsoft YaHei" w:cs="Microsoft YaHei" w:eastAsia="Microsoft YaHei" w:hAnsi="Microsoft YaHei"/>
          <w:b/>
          <w:bCs/>
          <w:sz w:val="40"/>
          <w:szCs w:val="40"/>
        </w:rPr>
        <w:t xml:space="preserve">商业秘密风险评估操作指引</w:t>
      </w:r>
    </w:p>
    <w:p>
      <w:pPr>
        <w:pStyle w:val="Heading1"/>
        <w:spacing w:after="120" w:before="280"/>
      </w:pPr>
      <w:r>
        <w:rPr>
          <w:rFonts w:ascii="Microsoft YaHei" w:cs="Microsoft YaHei" w:eastAsia="Microsoft YaHei" w:hAnsi="Microsoft YaHei"/>
        </w:rPr>
        <w:t xml:space="preserve">操作目标</w:t>
      </w:r>
    </w:p>
    <w:p>
      <w:pPr>
        <w:spacing w:after="160" w:line="360" w:lineRule="auto"/>
      </w:pPr>
      <w:r>
        <w:rPr>
          <w:rFonts w:ascii="Microsoft YaHei" w:cs="Microsoft YaHei" w:eastAsia="Microsoft YaHei" w:hAnsi="Microsoft YaHei"/>
        </w:rPr>
        <w:t xml:space="preserve">通过结构化风险评估识别企业在制度、人员、载体、场所和信息系统方面的薄弱环节。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评估步骤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确定评估范围、责任人和时间计划。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收集制度目录、岗位清单、系统权限和业务流程资料。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通过访谈、现场核验和记录抽样形成问题清单。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按发生可能性和影响程度评定风险等级。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制定整改措施、责任人、期限和验收标准。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完成复核并归档整改佐证。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输出成果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风险评估记录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风险项与整改台账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整改佐证目录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复核结论与后续计划</w:t>
      </w:r>
    </w:p>
    <w:sectPr>
      <w:pgSz w:w="11905" w:h="16837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decimal"/>
      <w:lvlText w:val="%2."/>
      <w:lvlJc w:val="left"/>
      <w:pPr>
        <w:ind w:left="1440" w:hanging="360"/>
      </w:pPr>
    </w:lvl>
    <w:lvl w:ilvl="2" w15:tentative="1">
      <w:start w:val="1"/>
      <w:numFmt w:val="decimal"/>
      <w:lvlText w:val="%3."/>
      <w:lvlJc w:val="left"/>
      <w:pPr>
        <w:ind w:left="2160" w:hanging="360"/>
      </w:pPr>
    </w:lvl>
    <w:lvl w:ilvl="3" w15:tentative="1">
      <w:start w:val="1"/>
      <w:numFmt w:val="decimal"/>
      <w:lvlText w:val="%4."/>
      <w:lvlJc w:val="left"/>
      <w:pPr>
        <w:ind w:left="2880" w:hanging="360"/>
      </w:pPr>
    </w:lvl>
    <w:lvl w:ilvl="4" w15:tentative="1">
      <w:start w:val="1"/>
      <w:numFmt w:val="decimal"/>
      <w:lvlText w:val="%5."/>
      <w:lvlJc w:val="left"/>
      <w:pPr>
        <w:ind w:left="3600" w:hanging="360"/>
      </w:pPr>
    </w:lvl>
    <w:lvl w:ilvl="5" w15:tentative="1">
      <w:start w:val="1"/>
      <w:numFmt w:val="decimal"/>
      <w:lvlText w:val="%6."/>
      <w:lvlJc w:val="left"/>
      <w:pPr>
        <w:ind w:left="4320" w:hanging="360"/>
      </w:pPr>
    </w:lvl>
    <w:lvl w:ilvl="6" w15:tentative="1">
      <w:start w:val="1"/>
      <w:numFmt w:val="decimal"/>
      <w:lvlText w:val="%7."/>
      <w:lvlJc w:val="left"/>
      <w:pPr>
        <w:ind w:left="5040" w:hanging="360"/>
      </w:pPr>
    </w:lvl>
    <w:lvl w:ilvl="7" w15:tentative="1">
      <w:start w:val="1"/>
      <w:numFmt w:val="decimal"/>
      <w:lvlText w:val="%8."/>
      <w:lvlJc w:val="left"/>
      <w:pPr>
        <w:ind w:left="5760" w:hanging="360"/>
      </w:pPr>
    </w:lvl>
    <w:lvl w:ilvl="8" w15:tentative="1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eastAsia="Microsoft YaHei" w:hAnsi="Microsoft YaHei"/>
        <w:sz w:val="22"/>
        <w:szCs w:val="22"/>
      </w:rPr>
    </w:rPrDefault>
    <w:pPrDefault>
      <w:pPr>
        <w:spacing w:after="160"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leTitle">
    <w:name w:val="Article Title"/>
    <w:pPr>
      <w:jc w:val="center"/>
    </w:pPr>
    <w:rPr>
      <w:rFonts w:ascii="Microsoft YaHei" w:cs="Microsoft YaHei" w:eastAsia="Microsoft YaHei" w:hAnsi="Microsoft YaHei"/>
      <w:b/>
      <w:bCs/>
      <w:color w:val="111827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300"/>
      <w:outlineLvl w:val="0"/>
    </w:pPr>
    <w:rPr>
      <w:rFonts w:ascii="Microsoft YaHei" w:cs="Microsoft YaHei" w:eastAsia="Microsoft YaHei" w:hAnsi="Microsoft YaHei"/>
      <w:b/>
      <w:bCs/>
      <w:color w:val="111827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20" w:before="260"/>
      <w:outlineLvl w:val="1"/>
    </w:pPr>
    <w:rPr>
      <w:rFonts w:ascii="Microsoft YaHei" w:cs="Microsoft YaHei" w:eastAsia="Microsoft YaHei" w:hAnsi="Microsoft YaHei"/>
      <w:b/>
      <w:bCs/>
      <w:color w:val="1F2937"/>
      <w:sz w:val="30"/>
      <w:szCs w:val="30"/>
    </w:rPr>
  </w:style>
  <w:style w:type="paragraph" w:styleId="Heading3">
    <w:name w:val="heading 3"/>
    <w:basedOn w:val="Normal"/>
    <w:next w:val="Normal"/>
    <w:qFormat/>
    <w:pPr>
      <w:keepNext/>
      <w:spacing w:after="100" w:before="220"/>
      <w:outlineLvl w:val="2"/>
    </w:pPr>
    <w:rPr>
      <w:rFonts w:ascii="Microsoft YaHei" w:cs="Microsoft YaHei" w:eastAsia="Microsoft YaHei" w:hAnsi="Microsoft YaHei"/>
      <w:b/>
      <w:bCs/>
      <w:color w:val="374151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商业秘密风险评估操作指引</dc:title>
  <dc:creator>Xstack</dc:creator>
  <dc:description>由 Xstack 文章管理导出的 DOCX 文档</dc:description>
  <cp:lastModifiedBy>Un-named</cp:lastModifiedBy>
  <cp:revision>1</cp:revision>
  <dcterms:created xsi:type="dcterms:W3CDTF">2026-08-14T05:07:49.645Z</dcterms:created>
  <dcterms:modified xsi:type="dcterms:W3CDTF">2026-08-14T05:07:49.645Z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