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itle"/>
        <w:keepNext/>
        <w:spacing w:after="360" w:line="480" w:lineRule="auto"/>
        <w:jc w:val="center"/>
      </w:pPr>
      <w:r>
        <w:rPr>
          <w:rFonts w:ascii="Microsoft YaHei" w:cs="Microsoft YaHei" w:eastAsia="Microsoft YaHei" w:hAnsi="Microsoft YaHei"/>
          <w:b/>
          <w:bCs/>
          <w:sz w:val="40"/>
          <w:szCs w:val="40"/>
        </w:rPr>
        <w:t xml:space="preserve">商业秘密保护法律法规摘编</w:t>
      </w:r>
    </w:p>
    <w:p>
      <w:pPr>
        <w:pStyle w:val="Heading1"/>
        <w:spacing w:after="120" w:before="280"/>
      </w:pPr>
      <w:r>
        <w:rPr>
          <w:rFonts w:ascii="Microsoft YaHei" w:cs="Microsoft YaHei" w:eastAsia="Microsoft YaHei" w:hAnsi="Microsoft YaHei"/>
        </w:rPr>
        <w:t xml:space="preserve">编制说明</w:t>
      </w:r>
    </w:p>
    <w:p>
      <w:pPr>
        <w:spacing w:after="160" w:line="360" w:lineRule="auto"/>
      </w:pPr>
      <w:r>
        <w:rPr>
          <w:rFonts w:ascii="Microsoft YaHei" w:cs="Microsoft YaHei" w:eastAsia="Microsoft YaHei" w:hAnsi="Microsoft YaHei"/>
        </w:rPr>
        <w:t xml:space="preserve">本摘编用于企业日常学习和内部培训，不替代国家机关公布的正式法律文本或专业法律意见。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重点法律规则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《中华人民共和国反不正当竞争法》关于商业秘密定义、侵权行为和法律责任的规定。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《中华人民共和国民法典》关于知识产权权益及侵权责任的相关规定。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《中华人民共和国刑法》关于侵犯商业秘密罪的相关规定。</w:t>
      </w:r>
    </w:p>
    <w:p>
      <w:pPr>
        <w:pStyle w:val="ListParagraph"/>
        <w:numPr>
          <w:ilvl w:val="0"/>
          <w:numId w:val="1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《中华人民共和国劳动合同法》关于保密义务和竞业限制的相关规定。</w:t>
      </w:r>
    </w:p>
    <w:p>
      <w:pPr>
        <w:pStyle w:val="Heading2"/>
        <w:spacing w:after="120" w:before="280"/>
      </w:pPr>
      <w:r>
        <w:rPr>
          <w:rFonts w:ascii="Microsoft YaHei" w:cs="Microsoft YaHei" w:eastAsia="Microsoft YaHei" w:hAnsi="Microsoft YaHei"/>
        </w:rPr>
        <w:t xml:space="preserve">企业合规要点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能够识别并说明需要保护的信息范围。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根据商业价值和接触范围采取相适应的保护措施。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持续保留制度、签收、权限、日志、培训和异常处置记录。</w:t>
      </w:r>
    </w:p>
    <w:p>
      <w:pPr>
        <w:pStyle w:val="ListParagraph"/>
        <w:numPr>
          <w:ilvl w:val="0"/>
          <w:numId w:val="2"/>
        </w:numPr>
        <w:spacing w:after="80" w:line="320" w:lineRule="auto"/>
      </w:pPr>
      <w:r>
        <w:rPr>
          <w:rFonts w:ascii="Microsoft YaHei" w:cs="Microsoft YaHei" w:eastAsia="Microsoft YaHei" w:hAnsi="Microsoft YaHei"/>
        </w:rPr>
        <w:t xml:space="preserve">发生异常时及时止损并依法固定原始证据。</w:t>
      </w:r>
    </w:p>
    <w:sectPr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  <w:lvl w:ilvl="4" w15:tentative="1">
      <w:start w:val="1"/>
      <w:numFmt w:val="decimal"/>
      <w:lvlText w:val="%5."/>
      <w:lvlJc w:val="left"/>
      <w:pPr>
        <w:ind w:left="3600" w:hanging="360"/>
      </w:pPr>
    </w:lvl>
    <w:lvl w:ilvl="5" w15:tentative="1">
      <w:start w:val="1"/>
      <w:numFmt w:val="decimal"/>
      <w:lvlText w:val="%6."/>
      <w:lvlJc w:val="left"/>
      <w:pPr>
        <w:ind w:left="4320" w:hanging="360"/>
      </w:pPr>
    </w:lvl>
    <w:lvl w:ilvl="6" w15:tentative="1">
      <w:start w:val="1"/>
      <w:numFmt w:val="decimal"/>
      <w:lvlText w:val="%7."/>
      <w:lvlJc w:val="left"/>
      <w:pPr>
        <w:ind w:left="5040" w:hanging="360"/>
      </w:pPr>
    </w:lvl>
    <w:lvl w:ilvl="7" w15:tentative="1">
      <w:start w:val="1"/>
      <w:numFmt w:val="decimal"/>
      <w:lvlText w:val="%8."/>
      <w:lvlJc w:val="left"/>
      <w:pPr>
        <w:ind w:left="5760" w:hanging="360"/>
      </w:pPr>
    </w:lvl>
    <w:lvl w:ilvl="8" w15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eastAsia="Microsoft YaHei" w:hAnsi="Microsoft YaHei"/>
        <w:sz w:val="22"/>
        <w:szCs w:val="22"/>
      </w:rPr>
    </w:rPrDefault>
    <w:pPrDefault>
      <w:pPr>
        <w:spacing w:after="160"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leTitle">
    <w:name w:val="Article Title"/>
    <w:pPr>
      <w:jc w:val="center"/>
    </w:pPr>
    <w:rPr>
      <w:rFonts w:ascii="Microsoft YaHei" w:cs="Microsoft YaHei" w:eastAsia="Microsoft YaHei" w:hAnsi="Microsoft YaHei"/>
      <w:b/>
      <w:bCs/>
      <w:color w:val="11182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300"/>
      <w:outlineLvl w:val="0"/>
    </w:pPr>
    <w:rPr>
      <w:rFonts w:ascii="Microsoft YaHei" w:cs="Microsoft YaHei" w:eastAsia="Microsoft YaHei" w:hAnsi="Microsoft YaHei"/>
      <w:b/>
      <w:bCs/>
      <w:color w:val="111827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260"/>
      <w:outlineLvl w:val="1"/>
    </w:pPr>
    <w:rPr>
      <w:rFonts w:ascii="Microsoft YaHei" w:cs="Microsoft YaHei" w:eastAsia="Microsoft YaHei" w:hAnsi="Microsoft YaHei"/>
      <w:b/>
      <w:bCs/>
      <w:color w:val="1F2937"/>
      <w:sz w:val="30"/>
      <w:szCs w:val="30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Microsoft YaHei" w:cs="Microsoft YaHei" w:eastAsia="Microsoft YaHei" w:hAnsi="Microsoft YaHei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商业秘密保护法律法规摘编</dc:title>
  <dc:creator>Xstack</dc:creator>
  <dc:description>由 Xstack 文章管理导出的 DOCX 文档</dc:description>
  <cp:lastModifiedBy>Un-named</cp:lastModifiedBy>
  <cp:revision>1</cp:revision>
  <dcterms:created xsi:type="dcterms:W3CDTF">2026-08-14T05:07:49.097Z</dcterms:created>
  <dcterms:modified xsi:type="dcterms:W3CDTF">2026-08-14T05:07:49.097Z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