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ArticleTitle"/>
        <w:keepNext/>
        <w:spacing w:after="360" w:line="480" w:lineRule="auto"/>
        <w:jc w:val="center"/>
      </w:pPr>
      <w:r>
        <w:rPr>
          <w:rFonts w:ascii="Microsoft YaHei" w:cs="Microsoft YaHei" w:eastAsia="Microsoft YaHei" w:hAnsi="Microsoft YaHei"/>
          <w:b/>
          <w:bCs/>
          <w:sz w:val="40"/>
          <w:szCs w:val="40"/>
        </w:rPr>
        <w:t xml:space="preserve">企业商业秘密保护指南</w:t>
      </w:r>
    </w:p>
    <w:p>
      <w:pPr>
        <w:pStyle w:val="Heading1"/>
        <w:spacing w:after="120" w:before="280"/>
      </w:pPr>
      <w:r>
        <w:rPr>
          <w:rFonts w:ascii="Microsoft YaHei" w:cs="Microsoft YaHei" w:eastAsia="Microsoft YaHei" w:hAnsi="Microsoft YaHei"/>
        </w:rPr>
        <w:t xml:space="preserve">指南目标</w:t>
      </w:r>
    </w:p>
    <w:p>
      <w:pPr>
        <w:spacing w:after="160" w:line="360" w:lineRule="auto"/>
      </w:pPr>
      <w:r>
        <w:rPr>
          <w:rFonts w:ascii="Microsoft YaHei" w:cs="Microsoft YaHei" w:eastAsia="Microsoft YaHei" w:hAnsi="Microsoft YaHei"/>
        </w:rPr>
        <w:t xml:space="preserve">帮助企业建立与自身规模、行业和业务流程相匹配的商业秘密保护体系。</w:t>
      </w:r>
    </w:p>
    <w:p>
      <w:pPr>
        <w:pStyle w:val="Heading2"/>
        <w:spacing w:after="120" w:before="280"/>
      </w:pPr>
      <w:r>
        <w:rPr>
          <w:rFonts w:ascii="Microsoft YaHei" w:cs="Microsoft YaHei" w:eastAsia="Microsoft YaHei" w:hAnsi="Microsoft YaHei"/>
        </w:rPr>
        <w:t xml:space="preserve">一、组织与职责</w:t>
      </w:r>
    </w:p>
    <w:p>
      <w:pPr>
        <w:spacing w:after="160" w:line="360" w:lineRule="auto"/>
      </w:pPr>
      <w:r>
        <w:rPr>
          <w:rFonts w:ascii="Microsoft YaHei" w:cs="Microsoft YaHei" w:eastAsia="Microsoft YaHei" w:hAnsi="Microsoft YaHei"/>
        </w:rPr>
        <w:t xml:space="preserve">明确牵头部门、业务责任人和监督检查机制，将保护责任落实到具体岗位。</w:t>
      </w:r>
    </w:p>
    <w:p>
      <w:pPr>
        <w:pStyle w:val="Heading2"/>
        <w:spacing w:after="120" w:before="280"/>
      </w:pPr>
      <w:r>
        <w:rPr>
          <w:rFonts w:ascii="Microsoft YaHei" w:cs="Microsoft YaHei" w:eastAsia="Microsoft YaHei" w:hAnsi="Microsoft YaHei"/>
        </w:rPr>
        <w:t xml:space="preserve">二、事项识别与分级</w:t>
      </w:r>
    </w:p>
    <w:p>
      <w:pPr>
        <w:spacing w:after="160" w:line="360" w:lineRule="auto"/>
      </w:pPr>
      <w:r>
        <w:rPr>
          <w:rFonts w:ascii="Microsoft YaHei" w:cs="Microsoft YaHei" w:eastAsia="Microsoft YaHei" w:hAnsi="Microsoft YaHei"/>
        </w:rPr>
        <w:t xml:space="preserve">围绕研发、生产、采购、销售和经营管理流程梳理技术信息与经营信息，形成动态事项清单。</w:t>
      </w:r>
    </w:p>
    <w:p>
      <w:pPr>
        <w:pStyle w:val="Heading2"/>
        <w:spacing w:after="120" w:before="280"/>
      </w:pPr>
      <w:r>
        <w:rPr>
          <w:rFonts w:ascii="Microsoft YaHei" w:cs="Microsoft YaHei" w:eastAsia="Microsoft YaHei" w:hAnsi="Microsoft YaHei"/>
        </w:rPr>
        <w:t xml:space="preserve">三、人员与合作方管理</w:t>
      </w:r>
    </w:p>
    <w:p>
      <w:pPr>
        <w:spacing w:after="160" w:line="360" w:lineRule="auto"/>
      </w:pPr>
      <w:r>
        <w:rPr>
          <w:rFonts w:ascii="Microsoft YaHei" w:cs="Microsoft YaHei" w:eastAsia="Microsoft YaHei" w:hAnsi="Microsoft YaHei"/>
        </w:rPr>
        <w:t xml:space="preserve">在入职、在岗、转岗、离岗以及合作方准入、交付、访问、结项阶段设置对应控制措施。</w:t>
      </w:r>
    </w:p>
    <w:p>
      <w:pPr>
        <w:pStyle w:val="Heading2"/>
        <w:spacing w:after="120" w:before="280"/>
      </w:pPr>
      <w:r>
        <w:rPr>
          <w:rFonts w:ascii="Microsoft YaHei" w:cs="Microsoft YaHei" w:eastAsia="Microsoft YaHei" w:hAnsi="Microsoft YaHei"/>
        </w:rPr>
        <w:t xml:space="preserve">四、载体、场所和系统</w:t>
      </w:r>
    </w:p>
    <w:p>
      <w:pPr>
        <w:spacing w:after="160" w:line="360" w:lineRule="auto"/>
      </w:pPr>
      <w:r>
        <w:rPr>
          <w:rFonts w:ascii="Microsoft YaHei" w:cs="Microsoft YaHei" w:eastAsia="Microsoft YaHei" w:hAnsi="Microsoft YaHei"/>
        </w:rPr>
        <w:t xml:space="preserve">对纸质文件、电子资料、移动介质、研发场所和业务系统实施分级授权、审批、标识和日志审计。</w:t>
      </w:r>
    </w:p>
    <w:p>
      <w:pPr>
        <w:pStyle w:val="Heading2"/>
        <w:spacing w:after="120" w:before="280"/>
      </w:pPr>
      <w:r>
        <w:rPr>
          <w:rFonts w:ascii="Microsoft YaHei" w:cs="Microsoft YaHei" w:eastAsia="Microsoft YaHei" w:hAnsi="Microsoft YaHei"/>
        </w:rPr>
        <w:t xml:space="preserve">五、检查与持续改进</w:t>
      </w:r>
    </w:p>
    <w:p>
      <w:pPr>
        <w:spacing w:after="160" w:line="360" w:lineRule="auto"/>
      </w:pPr>
      <w:r>
        <w:rPr>
          <w:rFonts w:ascii="Microsoft YaHei" w:cs="Microsoft YaHei" w:eastAsia="Microsoft YaHei" w:hAnsi="Microsoft YaHei"/>
        </w:rPr>
        <w:t xml:space="preserve">定期开展培训、抽查、风险评估和整改复核，保存每次改进的过程证据。</w:t>
      </w:r>
    </w:p>
    <w:sectPr>
      <w:pgSz w:w="11905" w:h="16837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  <w:lvl w:ilvl="1" w15:tentative="1">
      <w:start w:val="1"/>
      <w:numFmt w:val="decimal"/>
      <w:lvlText w:val="%2."/>
      <w:lvlJc w:val="left"/>
      <w:pPr>
        <w:ind w:left="1440" w:hanging="360"/>
      </w:pPr>
    </w:lvl>
    <w:lvl w:ilvl="2" w15:tentative="1">
      <w:start w:val="1"/>
      <w:numFmt w:val="decimal"/>
      <w:lvlText w:val="%3."/>
      <w:lvlJc w:val="left"/>
      <w:pPr>
        <w:ind w:left="2160" w:hanging="360"/>
      </w:pPr>
    </w:lvl>
    <w:lvl w:ilvl="3" w15:tentative="1">
      <w:start w:val="1"/>
      <w:numFmt w:val="decimal"/>
      <w:lvlText w:val="%4."/>
      <w:lvlJc w:val="left"/>
      <w:pPr>
        <w:ind w:left="2880" w:hanging="360"/>
      </w:pPr>
    </w:lvl>
    <w:lvl w:ilvl="4" w15:tentative="1">
      <w:start w:val="1"/>
      <w:numFmt w:val="decimal"/>
      <w:lvlText w:val="%5."/>
      <w:lvlJc w:val="left"/>
      <w:pPr>
        <w:ind w:left="3600" w:hanging="360"/>
      </w:pPr>
    </w:lvl>
    <w:lvl w:ilvl="5" w15:tentative="1">
      <w:start w:val="1"/>
      <w:numFmt w:val="decimal"/>
      <w:lvlText w:val="%6."/>
      <w:lvlJc w:val="left"/>
      <w:pPr>
        <w:ind w:left="4320" w:hanging="360"/>
      </w:pPr>
    </w:lvl>
    <w:lvl w:ilvl="6" w15:tentative="1">
      <w:start w:val="1"/>
      <w:numFmt w:val="decimal"/>
      <w:lvlText w:val="%7."/>
      <w:lvlJc w:val="left"/>
      <w:pPr>
        <w:ind w:left="5040" w:hanging="360"/>
      </w:pPr>
    </w:lvl>
    <w:lvl w:ilvl="7" w15:tentative="1">
      <w:start w:val="1"/>
      <w:numFmt w:val="decimal"/>
      <w:lvlText w:val="%8."/>
      <w:lvlJc w:val="left"/>
      <w:pPr>
        <w:ind w:left="5760" w:hanging="360"/>
      </w:pPr>
    </w:lvl>
    <w:lvl w:ilvl="8" w15:tentative="1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eastAsia="Microsoft YaHei" w:hAnsi="Microsoft YaHei"/>
        <w:sz w:val="22"/>
        <w:szCs w:val="22"/>
      </w:rPr>
    </w:rPrDefault>
    <w:pPrDefault>
      <w:pPr>
        <w:spacing w:after="160" w:line="360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rticleTitle">
    <w:name w:val="Article Title"/>
    <w:pPr>
      <w:jc w:val="center"/>
    </w:pPr>
    <w:rPr>
      <w:rFonts w:ascii="Microsoft YaHei" w:cs="Microsoft YaHei" w:eastAsia="Microsoft YaHei" w:hAnsi="Microsoft YaHei"/>
      <w:b/>
      <w:bCs/>
      <w:color w:val="111827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300"/>
      <w:outlineLvl w:val="0"/>
    </w:pPr>
    <w:rPr>
      <w:rFonts w:ascii="Microsoft YaHei" w:cs="Microsoft YaHei" w:eastAsia="Microsoft YaHei" w:hAnsi="Microsoft YaHei"/>
      <w:b/>
      <w:bCs/>
      <w:color w:val="111827"/>
      <w:sz w:val="34"/>
      <w:szCs w:val="34"/>
    </w:rPr>
  </w:style>
  <w:style w:type="paragraph" w:styleId="Heading2">
    <w:name w:val="heading 2"/>
    <w:basedOn w:val="Normal"/>
    <w:next w:val="Normal"/>
    <w:qFormat/>
    <w:pPr>
      <w:keepNext/>
      <w:spacing w:after="120" w:before="260"/>
      <w:outlineLvl w:val="1"/>
    </w:pPr>
    <w:rPr>
      <w:rFonts w:ascii="Microsoft YaHei" w:cs="Microsoft YaHei" w:eastAsia="Microsoft YaHei" w:hAnsi="Microsoft YaHei"/>
      <w:b/>
      <w:bCs/>
      <w:color w:val="1F2937"/>
      <w:sz w:val="30"/>
      <w:szCs w:val="30"/>
    </w:rPr>
  </w:style>
  <w:style w:type="paragraph" w:styleId="Heading3">
    <w:name w:val="heading 3"/>
    <w:basedOn w:val="Normal"/>
    <w:next w:val="Normal"/>
    <w:qFormat/>
    <w:pPr>
      <w:keepNext/>
      <w:spacing w:after="100" w:before="220"/>
      <w:outlineLvl w:val="2"/>
    </w:pPr>
    <w:rPr>
      <w:rFonts w:ascii="Microsoft YaHei" w:cs="Microsoft YaHei" w:eastAsia="Microsoft YaHei" w:hAnsi="Microsoft YaHei"/>
      <w:b/>
      <w:bCs/>
      <w:color w:val="374151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企业商业秘密保护指南</dc:title>
  <dc:creator>Xstack</dc:creator>
  <dc:description>由 Xstack 文章管理导出的 DOCX 文档</dc:description>
  <cp:lastModifiedBy>Un-named</cp:lastModifiedBy>
  <cp:revision>1</cp:revision>
  <dcterms:created xsi:type="dcterms:W3CDTF">2026-08-14T05:07:49.392Z</dcterms:created>
  <dcterms:modified xsi:type="dcterms:W3CDTF">2026-08-14T05:07:49.395Z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